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Bdr>
          <w:bottom w:val="double" w:sz="4" w:space="1" w:color="auto"/>
        </w:pBdr>
        <w:rPr>
          <w:rFonts w:asciiTheme="majorEastAsia" w:eastAsiaTheme="majorEastAsia" w:hAnsiTheme="majorEastAsia"/>
          <w:color w:val="FFFFFF" w:themeColor="background1"/>
          <w:szCs w:val="21"/>
        </w:rPr>
      </w:pPr>
      <w:r>
        <w:rPr>
          <w:rFonts w:asciiTheme="majorEastAsia" w:eastAsiaTheme="majorEastAsia" w:hAnsiTheme="majorEastAsia" w:hint="eastAsia"/>
          <w:color w:val="FFFFFF" w:themeColor="background1"/>
          <w:szCs w:val="21"/>
          <w:highlight w:val="blue"/>
        </w:rPr>
        <w:t xml:space="preserve">７　避難確保計画　　　　　　　　　　　　　　　　　　　　　　　　　　　　　　　　　</w:t>
      </w:r>
    </w:p>
    <w:p>
      <w:pPr>
        <w:rPr>
          <w:rFonts w:asciiTheme="minorEastAsia" w:hAnsiTheme="minorEastAsia"/>
          <w:szCs w:val="21"/>
        </w:rPr>
      </w:pPr>
    </w:p>
    <w:p>
      <w:pPr>
        <w:rPr>
          <w:rFonts w:asciiTheme="minorEastAsia" w:hAnsiTheme="minorEastAsia"/>
          <w:szCs w:val="21"/>
          <w:u w:val="single"/>
        </w:rPr>
      </w:pPr>
      <w:r>
        <w:rPr>
          <w:rFonts w:asciiTheme="minorEastAsia" w:hAnsiTheme="minorEastAsia" w:hint="eastAsia"/>
          <w:szCs w:val="21"/>
        </w:rPr>
        <w:t xml:space="preserve">　平成２９年６月の水防法の改正に伴い、</w:t>
      </w:r>
      <w:r>
        <w:rPr>
          <w:rFonts w:asciiTheme="minorEastAsia" w:hAnsiTheme="minorEastAsia" w:hint="eastAsia"/>
          <w:sz w:val="16"/>
          <w:szCs w:val="16"/>
          <w:u w:val="single"/>
        </w:rPr>
        <w:t>※１</w:t>
      </w:r>
      <w:r>
        <w:rPr>
          <w:rFonts w:asciiTheme="minorEastAsia" w:hAnsiTheme="minorEastAsia" w:hint="eastAsia"/>
          <w:szCs w:val="21"/>
          <w:u w:val="single"/>
        </w:rPr>
        <w:t>洪水及び土砂災害リスクの高い区域にある</w:t>
      </w:r>
    </w:p>
    <w:p>
      <w:pPr>
        <w:rPr>
          <w:rFonts w:asciiTheme="minorEastAsia" w:hAnsiTheme="minorEastAsia"/>
          <w:szCs w:val="21"/>
          <w:u w:val="single"/>
        </w:rPr>
      </w:pPr>
      <w:r>
        <w:rPr>
          <w:rFonts w:asciiTheme="minorEastAsia" w:hAnsiTheme="minorEastAsia" w:hint="eastAsia"/>
          <w:sz w:val="16"/>
          <w:szCs w:val="16"/>
          <w:u w:val="single"/>
        </w:rPr>
        <w:t>※２</w:t>
      </w:r>
      <w:r>
        <w:rPr>
          <w:rFonts w:asciiTheme="minorEastAsia" w:hAnsiTheme="minorEastAsia" w:hint="eastAsia"/>
          <w:szCs w:val="21"/>
          <w:u w:val="single"/>
        </w:rPr>
        <w:t>要配慮者施設（以下「施設」という。）の管理者に避難確保計画（以下「計画」という。）の作成及び避難訓練の実施を義務化</w:t>
      </w:r>
      <w:r>
        <w:rPr>
          <w:rFonts w:asciiTheme="minorEastAsia" w:hAnsiTheme="minorEastAsia" w:hint="eastAsia"/>
          <w:szCs w:val="21"/>
        </w:rPr>
        <w:t>し、利用者の確実な避難確保を図るようになりました。計画の作成については、「避難確保計画作成・避難訓練実施の義務化について」（平成30年５月２日付浜健障第108号）において、通知しているところですが、改めて通知内容をお知らせいたしますので、</w:t>
      </w:r>
      <w:r>
        <w:rPr>
          <w:rFonts w:asciiTheme="minorEastAsia" w:hAnsiTheme="minorEastAsia" w:hint="eastAsia"/>
          <w:szCs w:val="21"/>
          <w:u w:val="single"/>
        </w:rPr>
        <w:t>計画の作成及び提出をしていない施設についてはすみやかに計画作成及び提出をするようにしてください。</w:t>
      </w:r>
      <w:r>
        <w:rPr>
          <w:rFonts w:asciiTheme="minorEastAsia" w:hAnsiTheme="minorEastAsia" w:hint="eastAsia"/>
          <w:szCs w:val="21"/>
        </w:rPr>
        <w:t>（洪水及び土砂災害リスクの高い区域に該当しない施設は計画の作成及び提出は不要です。）</w:t>
      </w:r>
    </w:p>
    <w:p>
      <w:pPr>
        <w:rPr>
          <w:rFonts w:asciiTheme="minorEastAsia" w:hAnsiTheme="minorEastAsia"/>
          <w:szCs w:val="21"/>
        </w:rPr>
      </w:pPr>
    </w:p>
    <w:p>
      <w:pPr>
        <w:rPr>
          <w:rFonts w:asciiTheme="minorEastAsia" w:hAnsiTheme="minorEastAsia"/>
          <w:szCs w:val="21"/>
          <w:u w:val="single"/>
        </w:rPr>
      </w:pPr>
      <w:r>
        <w:rPr>
          <w:rFonts w:asciiTheme="minorEastAsia" w:hAnsiTheme="minorEastAsia" w:hint="eastAsia"/>
          <w:szCs w:val="21"/>
        </w:rPr>
        <w:t>※１　洪水及び土砂災害リスクの高い区域</w:t>
      </w:r>
    </w:p>
    <w:p>
      <w:pPr>
        <w:rPr>
          <w:rFonts w:asciiTheme="minorEastAsia" w:hAnsiTheme="minorEastAsia"/>
          <w:szCs w:val="21"/>
          <w:u w:val="single"/>
        </w:rPr>
      </w:pPr>
      <w:r>
        <w:rPr>
          <w:rFonts w:asciiTheme="minorEastAsia" w:hAnsiTheme="minorEastAsia" w:hint="eastAsia"/>
          <w:szCs w:val="21"/>
        </w:rPr>
        <w:t xml:space="preserve">　</w:t>
      </w:r>
      <w:r>
        <w:rPr>
          <w:rFonts w:asciiTheme="minorEastAsia" w:hAnsiTheme="minorEastAsia" w:hint="eastAsia"/>
          <w:szCs w:val="21"/>
          <w:u w:val="single"/>
        </w:rPr>
        <w:t>浸水想定区域及び土砂災害（特別）警戒区域を指します。</w:t>
      </w:r>
    </w:p>
    <w:p>
      <w:pPr>
        <w:rPr>
          <w:rFonts w:asciiTheme="minorEastAsia" w:hAnsiTheme="minorEastAsia"/>
          <w:szCs w:val="21"/>
        </w:rPr>
      </w:pPr>
      <w:r>
        <w:rPr>
          <w:rFonts w:asciiTheme="minorEastAsia" w:hAnsiTheme="minorEastAsia" w:hint="eastAsia"/>
          <w:szCs w:val="21"/>
        </w:rPr>
        <w:t>※２　要配慮者利用施設</w:t>
      </w:r>
    </w:p>
    <w:p>
      <w:pPr>
        <w:ind w:firstLineChars="100" w:firstLine="210"/>
        <w:rPr>
          <w:rFonts w:asciiTheme="minorEastAsia" w:hAnsiTheme="minorEastAsia"/>
          <w:szCs w:val="21"/>
        </w:rPr>
      </w:pPr>
      <w:r>
        <w:rPr>
          <w:rFonts w:asciiTheme="minorEastAsia" w:hAnsiTheme="minorEastAsia" w:hint="eastAsia"/>
          <w:szCs w:val="21"/>
        </w:rPr>
        <w:t>水防法、土砂災害防止法等における要配慮者利用施設とは、</w:t>
      </w:r>
      <w:r>
        <w:rPr>
          <w:rFonts w:asciiTheme="minorEastAsia" w:hAnsiTheme="minorEastAsia" w:hint="eastAsia"/>
          <w:szCs w:val="21"/>
          <w:u w:val="single"/>
        </w:rPr>
        <w:t>社会福祉施設</w:t>
      </w:r>
      <w:r>
        <w:rPr>
          <w:rFonts w:asciiTheme="minorEastAsia" w:hAnsiTheme="minorEastAsia" w:hint="eastAsia"/>
          <w:szCs w:val="21"/>
        </w:rPr>
        <w:t>、学校、医療施設その他の主として防災上の配慮を要する者（高齢者、障害者、乳幼児その他の特に配慮を要する者）が利用する施設を指します。</w:t>
      </w:r>
    </w:p>
    <w:p>
      <w:pPr>
        <w:ind w:firstLineChars="100" w:firstLine="210"/>
        <w:rPr>
          <w:rFonts w:asciiTheme="minorEastAsia" w:hAnsiTheme="minorEastAsia"/>
          <w:szCs w:val="21"/>
          <w:u w:val="single"/>
        </w:rPr>
      </w:pPr>
      <w:r>
        <w:rPr>
          <w:rFonts w:asciiTheme="minorEastAsia" w:hAnsiTheme="minorEastAsia" w:hint="eastAsia"/>
          <w:szCs w:val="21"/>
        </w:rPr>
        <w:t>なかでも</w:t>
      </w:r>
      <w:r>
        <w:rPr>
          <w:rFonts w:asciiTheme="minorEastAsia" w:hAnsiTheme="minorEastAsia" w:hint="eastAsia"/>
          <w:szCs w:val="21"/>
          <w:u w:val="single"/>
        </w:rPr>
        <w:t>社会福祉施設とは、障害者支援施設・地域活動支援センター・障害福祉サービス事業の用に供する施設・児童福祉施設・障害児通所支援事業の用に供する施設などを指します。</w:t>
      </w:r>
    </w:p>
    <w:p>
      <w:pPr>
        <w:ind w:firstLineChars="100" w:firstLine="210"/>
        <w:rPr>
          <w:rFonts w:asciiTheme="minorEastAsia" w:hAnsiTheme="minorEastAsia"/>
          <w:szCs w:val="21"/>
          <w:u w:val="single"/>
        </w:rPr>
      </w:pPr>
    </w:p>
    <w:p>
      <w:pPr>
        <w:rPr>
          <w:rFonts w:asciiTheme="majorEastAsia" w:eastAsiaTheme="majorEastAsia" w:hAnsiTheme="majorEastAsia"/>
          <w:sz w:val="22"/>
        </w:rPr>
      </w:pPr>
      <w:r>
        <w:rPr>
          <w:rFonts w:asciiTheme="majorEastAsia" w:eastAsiaTheme="majorEastAsia" w:hAnsiTheme="majorEastAsia" w:hint="eastAsia"/>
          <w:sz w:val="22"/>
        </w:rPr>
        <w:t xml:space="preserve">（１）　</w:t>
      </w:r>
      <w:r>
        <w:rPr>
          <w:rFonts w:asciiTheme="majorEastAsia" w:eastAsiaTheme="majorEastAsia" w:hAnsiTheme="majorEastAsia" w:hint="eastAsia"/>
          <w:szCs w:val="21"/>
        </w:rPr>
        <w:t>洪水及び土砂災害リスクの高い区域に存する施設が行う必要があること</w:t>
      </w:r>
    </w:p>
    <w:p>
      <w:pPr>
        <w:ind w:firstLineChars="100" w:firstLine="210"/>
        <w:rPr>
          <w:rFonts w:asciiTheme="minorEastAsia" w:hAnsiTheme="minorEastAsia"/>
          <w:szCs w:val="21"/>
        </w:rPr>
      </w:pPr>
      <w:r>
        <w:rPr>
          <w:rFonts w:asciiTheme="minorEastAsia" w:hAnsiTheme="minorEastAsia" w:hint="eastAsia"/>
          <w:szCs w:val="21"/>
        </w:rPr>
        <w:t>・計画の作成・提出</w:t>
      </w:r>
    </w:p>
    <w:p>
      <w:pPr>
        <w:ind w:leftChars="100" w:left="210" w:firstLineChars="100" w:firstLine="210"/>
        <w:rPr>
          <w:rFonts w:asciiTheme="minorEastAsia" w:hAnsiTheme="minorEastAsia"/>
          <w:szCs w:val="21"/>
        </w:rPr>
      </w:pPr>
      <w:r>
        <w:rPr>
          <w:rFonts w:asciiTheme="minorEastAsia" w:hAnsiTheme="minorEastAsia" w:hint="eastAsia"/>
          <w:szCs w:val="21"/>
        </w:rPr>
        <w:t>計画の作成及び提出をしていない施設については、速やかに作成及び提出をお願いします。また、既に計画を提出している施設において、計画の変更を行った場合は、変更後の計画の提出をお願いします。</w:t>
      </w:r>
    </w:p>
    <w:p>
      <w:pPr>
        <w:ind w:firstLineChars="100" w:firstLine="210"/>
        <w:rPr>
          <w:rFonts w:asciiTheme="minorEastAsia" w:hAnsiTheme="minorEastAsia"/>
          <w:szCs w:val="21"/>
        </w:rPr>
      </w:pPr>
      <w:r>
        <w:rPr>
          <w:rFonts w:asciiTheme="minorEastAsia" w:hAnsiTheme="minorEastAsia" w:hint="eastAsia"/>
          <w:szCs w:val="21"/>
        </w:rPr>
        <w:t xml:space="preserve">・避難訓練の実施　</w:t>
      </w:r>
    </w:p>
    <w:p>
      <w:pPr>
        <w:rPr>
          <w:rFonts w:asciiTheme="minorEastAsia" w:hAnsiTheme="minorEastAsia"/>
          <w:szCs w:val="21"/>
        </w:rPr>
      </w:pPr>
      <w:r>
        <w:rPr>
          <w:rFonts w:asciiTheme="minorEastAsia" w:hAnsiTheme="minorEastAsia" w:hint="eastAsia"/>
          <w:szCs w:val="21"/>
        </w:rPr>
        <w:t xml:space="preserve">　　作成した計画に基づく避難訓練を年１回以上実施してください。</w:t>
      </w:r>
    </w:p>
    <w:p>
      <w:pPr>
        <w:ind w:leftChars="100" w:left="210" w:firstLineChars="100" w:firstLine="210"/>
        <w:rPr>
          <w:rFonts w:asciiTheme="minorEastAsia" w:hAnsiTheme="minorEastAsia"/>
          <w:sz w:val="20"/>
          <w:szCs w:val="21"/>
        </w:rPr>
      </w:pPr>
      <w:r>
        <w:rPr>
          <w:rFonts w:asciiTheme="minorEastAsia" w:hAnsiTheme="minorEastAsia" w:hint="eastAsia"/>
        </w:rPr>
        <w:t>なお、他の規定に基づき既に同様の情報伝達訓練や避難訓練を実施している場合は、当該訓練の実施をもって代えることができます。</w:t>
      </w:r>
    </w:p>
    <w:p>
      <w:pPr>
        <w:ind w:leftChars="100" w:left="210" w:firstLineChars="100" w:firstLine="210"/>
        <w:rPr>
          <w:rFonts w:asciiTheme="minorEastAsia" w:hAnsiTheme="minorEastAsia"/>
        </w:rPr>
      </w:pPr>
      <w:r>
        <w:rPr>
          <w:rFonts w:asciiTheme="minorEastAsia" w:hAnsiTheme="minorEastAsia" w:hint="eastAsia"/>
        </w:rPr>
        <w:t>※災害の種類によって避難場所や避難経路が異なる場合は、その旨を従業員等に周知願います。</w:t>
      </w: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ajorEastAsia" w:eastAsiaTheme="majorEastAsia" w:hAnsiTheme="majorEastAsia"/>
          <w:szCs w:val="21"/>
        </w:rPr>
      </w:pPr>
      <w:r>
        <w:rPr>
          <w:rFonts w:asciiTheme="majorEastAsia" w:eastAsiaTheme="majorEastAsia" w:hAnsiTheme="majorEastAsia" w:hint="eastAsia"/>
          <w:szCs w:val="21"/>
        </w:rPr>
        <w:lastRenderedPageBreak/>
        <w:t>（２）作成する様式</w:t>
      </w:r>
    </w:p>
    <w:p>
      <w:pPr>
        <w:rPr>
          <w:rFonts w:asciiTheme="minorEastAsia" w:hAnsiTheme="minorEastAsia"/>
          <w:szCs w:val="21"/>
        </w:rPr>
      </w:pPr>
      <w:r>
        <w:rPr>
          <w:rFonts w:asciiTheme="minorEastAsia" w:hAnsiTheme="minorEastAsia" w:hint="eastAsia"/>
          <w:szCs w:val="21"/>
        </w:rPr>
        <w:t xml:space="preserve">　付属資料に記載の方法により、市ホームページより届出書の様式をダウンロードし、作成をお願いします。</w:t>
      </w:r>
    </w:p>
    <w:p>
      <w:pPr>
        <w:rPr>
          <w:rFonts w:asciiTheme="minorEastAsia" w:hAnsiTheme="minorEastAsia"/>
          <w:szCs w:val="21"/>
        </w:rPr>
      </w:pPr>
      <w:r>
        <w:rPr>
          <w:rFonts w:asciiTheme="minorEastAsia" w:hAnsiTheme="minorEastAsia" w:hint="eastAsia"/>
          <w:szCs w:val="21"/>
        </w:rPr>
        <w:t xml:space="preserve">　以下に応じて作成する様式が異なりますのでご注意ください。</w:t>
      </w:r>
    </w:p>
    <w:p>
      <w:pPr>
        <w:ind w:firstLineChars="200" w:firstLine="420"/>
        <w:rPr>
          <w:rFonts w:asciiTheme="minorEastAsia" w:hAnsiTheme="minorEastAsia"/>
          <w:szCs w:val="21"/>
        </w:rPr>
      </w:pPr>
      <w:r>
        <w:rPr>
          <w:rFonts w:asciiTheme="minorEastAsia" w:hAnsiTheme="minorEastAsia" w:hint="eastAsia"/>
          <w:szCs w:val="21"/>
        </w:rPr>
        <w:t xml:space="preserve">新規で計画を作成する場合　　  　⇒　「避難確保計画作成届出書」　</w:t>
      </w:r>
    </w:p>
    <w:p>
      <w:pPr>
        <w:ind w:firstLineChars="200" w:firstLine="420"/>
        <w:rPr>
          <w:rFonts w:asciiTheme="minorEastAsia" w:hAnsiTheme="minorEastAsia"/>
          <w:szCs w:val="21"/>
        </w:rPr>
      </w:pPr>
      <w:r>
        <w:rPr>
          <w:rFonts w:asciiTheme="minorEastAsia" w:hAnsiTheme="minorEastAsia" w:hint="eastAsia"/>
          <w:szCs w:val="21"/>
        </w:rPr>
        <w:t>施設に変更や廃止があった場合　　⇒　「避難確保計画作成等変更・廃止届出書」</w:t>
      </w:r>
    </w:p>
    <w:p>
      <w:pPr>
        <w:rPr>
          <w:rFonts w:asciiTheme="minorEastAsia" w:hAnsiTheme="minorEastAsia"/>
          <w:szCs w:val="21"/>
        </w:rPr>
      </w:pPr>
    </w:p>
    <w:p>
      <w:pPr>
        <w:rPr>
          <w:rFonts w:asciiTheme="majorEastAsia" w:eastAsiaTheme="majorEastAsia" w:hAnsiTheme="majorEastAsia"/>
          <w:szCs w:val="21"/>
        </w:rPr>
      </w:pPr>
      <w:r>
        <w:rPr>
          <w:rFonts w:asciiTheme="majorEastAsia" w:eastAsiaTheme="majorEastAsia" w:hAnsiTheme="majorEastAsia" w:hint="eastAsia"/>
          <w:szCs w:val="21"/>
        </w:rPr>
        <w:t>（３）提出方法・提出先</w:t>
      </w:r>
    </w:p>
    <w:p>
      <w:pPr>
        <w:ind w:left="210"/>
        <w:rPr>
          <w:rFonts w:asciiTheme="minorEastAsia" w:hAnsiTheme="minorEastAsia"/>
          <w:szCs w:val="21"/>
        </w:rPr>
      </w:pPr>
      <w:r>
        <w:rPr>
          <w:rFonts w:asciiTheme="minorEastAsia" w:hAnsiTheme="minorEastAsia" w:hint="eastAsia"/>
          <w:szCs w:val="21"/>
        </w:rPr>
        <w:t>（２）において作成した各様式について、以下により提出してください。</w:t>
      </w:r>
    </w:p>
    <w:p>
      <w:pPr>
        <w:pStyle w:val="a3"/>
        <w:ind w:leftChars="0" w:left="210" w:firstLineChars="100" w:firstLine="210"/>
        <w:rPr>
          <w:rFonts w:asciiTheme="minorEastAsia" w:hAnsiTheme="minorEastAsia"/>
          <w:kern w:val="0"/>
          <w:sz w:val="22"/>
        </w:rPr>
      </w:pPr>
      <w:r>
        <w:rPr>
          <w:rFonts w:asciiTheme="minorEastAsia" w:hAnsiTheme="minorEastAsia" w:hint="eastAsia"/>
          <w:szCs w:val="21"/>
        </w:rPr>
        <w:t>【提出方法】</w:t>
      </w:r>
      <w:r>
        <w:rPr>
          <w:rFonts w:asciiTheme="minorEastAsia" w:hAnsiTheme="minorEastAsia" w:hint="eastAsia"/>
          <w:sz w:val="22"/>
        </w:rPr>
        <w:t>メール、持ち込み、郵送</w:t>
      </w:r>
      <w:r>
        <w:rPr>
          <w:rFonts w:asciiTheme="minorEastAsia" w:hAnsiTheme="minorEastAsia" w:hint="eastAsia"/>
          <w:kern w:val="0"/>
          <w:sz w:val="22"/>
        </w:rPr>
        <w:t>（メールの場合は、ＰＤＦデータにて提出）</w:t>
      </w:r>
    </w:p>
    <w:p>
      <w:pPr>
        <w:pStyle w:val="a3"/>
        <w:ind w:leftChars="0" w:left="720"/>
        <w:rPr>
          <w:rFonts w:asciiTheme="minorEastAsia" w:hAnsiTheme="minorEastAsia"/>
          <w:sz w:val="22"/>
        </w:rPr>
      </w:pPr>
      <w:r>
        <w:rPr>
          <w:rFonts w:asciiTheme="minorEastAsia" w:hAnsiTheme="minorEastAsia" w:hint="eastAsia"/>
          <w:sz w:val="22"/>
        </w:rPr>
        <w:t>※持ち込み、郵送の場合の提出部数は１部としてください。</w:t>
      </w:r>
    </w:p>
    <w:p>
      <w:pPr>
        <w:ind w:firstLineChars="200" w:firstLine="420"/>
        <w:rPr>
          <w:rFonts w:asciiTheme="minorEastAsia" w:hAnsiTheme="minorEastAsia"/>
          <w:szCs w:val="21"/>
        </w:rPr>
      </w:pPr>
      <w:r>
        <w:rPr>
          <w:rFonts w:asciiTheme="minorEastAsia" w:hAnsiTheme="minorEastAsia" w:hint="eastAsia"/>
          <w:szCs w:val="21"/>
        </w:rPr>
        <w:t>【提出先】</w:t>
      </w:r>
      <w:r>
        <w:rPr>
          <w:rFonts w:asciiTheme="minorEastAsia" w:hAnsiTheme="minorEastAsia" w:hint="eastAsia"/>
          <w:sz w:val="22"/>
        </w:rPr>
        <w:t>浜松市健康福祉部障害保健福祉課　指導グループ</w:t>
      </w:r>
    </w:p>
    <w:p>
      <w:pPr>
        <w:ind w:firstLineChars="200" w:firstLine="440"/>
        <w:rPr>
          <w:rFonts w:asciiTheme="minorEastAsia" w:hAnsiTheme="minorEastAsia"/>
          <w:sz w:val="22"/>
        </w:rPr>
      </w:pPr>
      <w:r>
        <w:rPr>
          <w:rFonts w:asciiTheme="minorEastAsia" w:hAnsiTheme="minorEastAsia" w:hint="eastAsia"/>
          <w:sz w:val="22"/>
        </w:rPr>
        <w:t xml:space="preserve">　　　　　〒</w:t>
      </w:r>
      <w:r>
        <w:rPr>
          <w:rFonts w:asciiTheme="minorEastAsia" w:hAnsiTheme="minorEastAsia"/>
          <w:sz w:val="22"/>
        </w:rPr>
        <w:t>430-8652</w:t>
      </w:r>
      <w:r>
        <w:rPr>
          <w:rFonts w:asciiTheme="minorEastAsia" w:hAnsiTheme="minorEastAsia" w:hint="eastAsia"/>
          <w:sz w:val="22"/>
        </w:rPr>
        <w:t xml:space="preserve">　浜松市中区元城町</w:t>
      </w:r>
      <w:r>
        <w:rPr>
          <w:rFonts w:asciiTheme="minorEastAsia" w:hAnsiTheme="minorEastAsia"/>
          <w:sz w:val="22"/>
        </w:rPr>
        <w:t>103</w:t>
      </w:r>
      <w:r>
        <w:rPr>
          <w:rFonts w:asciiTheme="minorEastAsia" w:hAnsiTheme="minorEastAsia" w:hint="eastAsia"/>
          <w:sz w:val="22"/>
        </w:rPr>
        <w:t>番地の</w:t>
      </w:r>
      <w:r>
        <w:rPr>
          <w:rFonts w:asciiTheme="minorEastAsia" w:hAnsiTheme="minorEastAsia"/>
          <w:sz w:val="22"/>
        </w:rPr>
        <w:t>2</w:t>
      </w:r>
      <w:r>
        <w:rPr>
          <w:rFonts w:asciiTheme="minorEastAsia" w:hAnsiTheme="minorEastAsia" w:hint="eastAsia"/>
          <w:sz w:val="22"/>
        </w:rPr>
        <w:t xml:space="preserve">　浜松市役所本館２階</w:t>
      </w:r>
    </w:p>
    <w:p>
      <w:pPr>
        <w:ind w:firstLineChars="200" w:firstLine="440"/>
        <w:rPr>
          <w:rFonts w:asciiTheme="minorEastAsia" w:hAnsiTheme="minorEastAsia"/>
          <w:sz w:val="22"/>
        </w:rPr>
      </w:pPr>
      <w:r>
        <w:rPr>
          <w:rFonts w:asciiTheme="minorEastAsia" w:hAnsiTheme="minorEastAsia" w:hint="eastAsia"/>
          <w:sz w:val="22"/>
        </w:rPr>
        <w:t xml:space="preserve">　　　　　メールアドレス　</w:t>
      </w:r>
      <w:r>
        <w:rPr>
          <w:rFonts w:asciiTheme="minorEastAsia" w:hAnsiTheme="minorEastAsia" w:hint="eastAsia"/>
          <w:sz w:val="22"/>
          <w:u w:val="single"/>
        </w:rPr>
        <w:t>syoghuku-shidou@city.hamamatsu.shizuoka.jp</w:t>
      </w:r>
    </w:p>
    <w:p>
      <w:pPr>
        <w:rPr>
          <w:rFonts w:asciiTheme="minorEastAsia" w:hAnsiTheme="minorEastAsia"/>
          <w:szCs w:val="21"/>
        </w:rPr>
      </w:pPr>
      <w:r>
        <w:rPr>
          <w:rFonts w:asciiTheme="minorEastAsia" w:hAnsiTheme="minorEastAsia" w:hint="eastAsia"/>
          <w:szCs w:val="21"/>
        </w:rPr>
        <w:t xml:space="preserve">　</w:t>
      </w:r>
    </w:p>
    <w:p>
      <w:pPr>
        <w:widowControl/>
        <w:jc w:val="left"/>
        <w:rPr>
          <w:rFonts w:asciiTheme="minorEastAsia" w:hAnsiTheme="minorEastAsia"/>
          <w:szCs w:val="21"/>
        </w:rPr>
      </w:pPr>
      <w:r>
        <w:rPr>
          <w:rFonts w:asciiTheme="minorEastAsia" w:hAnsiTheme="minorEastAsia"/>
          <w:szCs w:val="21"/>
        </w:rPr>
        <w:br w:type="page"/>
      </w:r>
    </w:p>
    <w:p>
      <w:pPr>
        <w:rPr>
          <w:rFonts w:asciiTheme="minorEastAsia" w:hAnsiTheme="minorEastAsia"/>
          <w:szCs w:val="21"/>
        </w:rPr>
      </w:pPr>
      <w:r>
        <w:rPr>
          <w:noProof/>
        </w:rPr>
        <w:lastRenderedPageBreak/>
        <w:drawing>
          <wp:inline distT="0" distB="0" distL="0" distR="0">
            <wp:extent cx="5400040" cy="802703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8027035"/>
                    </a:xfrm>
                    <a:prstGeom prst="rect">
                      <a:avLst/>
                    </a:prstGeom>
                  </pic:spPr>
                </pic:pic>
              </a:graphicData>
            </a:graphic>
          </wp:inline>
        </w:drawing>
      </w:r>
    </w:p>
    <w:p>
      <w:pPr>
        <w:rPr>
          <w:rFonts w:asciiTheme="minorEastAsia" w:hAnsiTheme="minorEastAsia"/>
          <w:szCs w:val="21"/>
        </w:rPr>
      </w:pPr>
      <w:r>
        <w:rPr>
          <w:noProof/>
        </w:rPr>
        <w:lastRenderedPageBreak/>
        <w:drawing>
          <wp:inline distT="0" distB="0" distL="0" distR="0">
            <wp:extent cx="5400040" cy="7540625"/>
            <wp:effectExtent l="0" t="0" r="0" b="31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7540625"/>
                    </a:xfrm>
                    <a:prstGeom prst="rect">
                      <a:avLst/>
                    </a:prstGeom>
                  </pic:spPr>
                </pic:pic>
              </a:graphicData>
            </a:graphic>
          </wp:inline>
        </w:drawing>
      </w: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r>
        <w:rPr>
          <w:noProof/>
        </w:rPr>
        <w:lastRenderedPageBreak/>
        <w:drawing>
          <wp:inline distT="0" distB="0" distL="0" distR="0">
            <wp:extent cx="5400040" cy="787019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7870190"/>
                    </a:xfrm>
                    <a:prstGeom prst="rect">
                      <a:avLst/>
                    </a:prstGeom>
                  </pic:spPr>
                </pic:pic>
              </a:graphicData>
            </a:graphic>
          </wp:inline>
        </w:drawing>
      </w:r>
    </w:p>
    <w:p>
      <w:pPr>
        <w:rPr>
          <w:rFonts w:asciiTheme="minorEastAsia" w:hAnsiTheme="minorEastAsia"/>
          <w:szCs w:val="21"/>
        </w:rPr>
      </w:pPr>
    </w:p>
    <w:p>
      <w:pPr>
        <w:rPr>
          <w:rFonts w:asciiTheme="minorEastAsia" w:hAnsiTheme="minorEastAsia"/>
          <w:szCs w:val="21"/>
        </w:rPr>
      </w:pPr>
      <w:r>
        <w:rPr>
          <w:noProof/>
        </w:rPr>
        <w:lastRenderedPageBreak/>
        <w:drawing>
          <wp:inline distT="0" distB="0" distL="0" distR="0">
            <wp:extent cx="5400040" cy="78295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7829550"/>
                    </a:xfrm>
                    <a:prstGeom prst="rect">
                      <a:avLst/>
                    </a:prstGeom>
                  </pic:spPr>
                </pic:pic>
              </a:graphicData>
            </a:graphic>
          </wp:inline>
        </w:drawing>
      </w:r>
    </w:p>
    <w:p>
      <w:pPr>
        <w:rPr>
          <w:rFonts w:asciiTheme="minorEastAsia" w:hAnsiTheme="minorEastAsia"/>
          <w:szCs w:val="21"/>
        </w:rPr>
      </w:pPr>
    </w:p>
    <w:p>
      <w:pPr>
        <w:rPr>
          <w:rFonts w:asciiTheme="minorEastAsia" w:hAnsiTheme="minorEastAsia"/>
          <w:szCs w:val="21"/>
        </w:rPr>
      </w:pPr>
      <w:r>
        <w:rPr>
          <w:noProof/>
        </w:rPr>
        <w:lastRenderedPageBreak/>
        <w:drawing>
          <wp:inline distT="0" distB="0" distL="0" distR="0">
            <wp:extent cx="5400040" cy="739711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7397115"/>
                    </a:xfrm>
                    <a:prstGeom prst="rect">
                      <a:avLst/>
                    </a:prstGeom>
                  </pic:spPr>
                </pic:pic>
              </a:graphicData>
            </a:graphic>
          </wp:inline>
        </w:drawing>
      </w: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r>
        <w:rPr>
          <w:noProof/>
        </w:rPr>
        <w:lastRenderedPageBreak/>
        <w:drawing>
          <wp:inline distT="0" distB="0" distL="0" distR="0">
            <wp:extent cx="5400040" cy="766254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7662545"/>
                    </a:xfrm>
                    <a:prstGeom prst="rect">
                      <a:avLst/>
                    </a:prstGeom>
                  </pic:spPr>
                </pic:pic>
              </a:graphicData>
            </a:graphic>
          </wp:inline>
        </w:drawing>
      </w: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r>
        <w:rPr>
          <w:noProof/>
        </w:rPr>
        <w:lastRenderedPageBreak/>
        <w:drawing>
          <wp:inline distT="0" distB="0" distL="0" distR="0">
            <wp:extent cx="5400040" cy="777430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7774305"/>
                    </a:xfrm>
                    <a:prstGeom prst="rect">
                      <a:avLst/>
                    </a:prstGeom>
                  </pic:spPr>
                </pic:pic>
              </a:graphicData>
            </a:graphic>
          </wp:inline>
        </w:drawing>
      </w:r>
    </w:p>
    <w:p>
      <w:pPr>
        <w:rPr>
          <w:rFonts w:asciiTheme="minorEastAsia" w:hAnsiTheme="minorEastAsia"/>
          <w:szCs w:val="21"/>
        </w:rPr>
      </w:pPr>
    </w:p>
    <w:p>
      <w:pPr>
        <w:rPr>
          <w:rFonts w:asciiTheme="minorEastAsia" w:hAnsiTheme="minorEastAsia"/>
          <w:szCs w:val="21"/>
        </w:rPr>
      </w:pPr>
      <w:r>
        <w:rPr>
          <w:noProof/>
        </w:rPr>
        <w:lastRenderedPageBreak/>
        <w:drawing>
          <wp:inline distT="0" distB="0" distL="0" distR="0">
            <wp:extent cx="5400040" cy="7673340"/>
            <wp:effectExtent l="0" t="0" r="0"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7673340"/>
                    </a:xfrm>
                    <a:prstGeom prst="rect">
                      <a:avLst/>
                    </a:prstGeom>
                  </pic:spPr>
                </pic:pic>
              </a:graphicData>
            </a:graphic>
          </wp:inline>
        </w:drawing>
      </w: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r>
        <w:rPr>
          <w:noProof/>
        </w:rPr>
        <w:lastRenderedPageBreak/>
        <w:drawing>
          <wp:inline distT="0" distB="0" distL="0" distR="0">
            <wp:extent cx="5400040" cy="793178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7931785"/>
                    </a:xfrm>
                    <a:prstGeom prst="rect">
                      <a:avLst/>
                    </a:prstGeom>
                  </pic:spPr>
                </pic:pic>
              </a:graphicData>
            </a:graphic>
          </wp:inline>
        </w:drawing>
      </w:r>
    </w:p>
    <w:sectPr>
      <w:headerReference w:type="even" r:id="rId17"/>
      <w:headerReference w:type="default" r:id="rId18"/>
      <w:footerReference w:type="even" r:id="rId19"/>
      <w:footerReference w:type="default" r:id="rId20"/>
      <w:headerReference w:type="first" r:id="rId21"/>
      <w:footerReference w:type="first" r:id="rId2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a4"/>
      <w:ind w:rightChars="-473" w:right="-993"/>
      <w:jc w:val="right"/>
    </w:pPr>
    <w:r>
      <w:rPr>
        <w:rFonts w:hint="eastAsia"/>
        <w:sz w:val="20"/>
      </w:rPr>
      <w:t>【令和３年度障害児・者福祉サービス事業者集団指導資料】</w:t>
    </w:r>
  </w:p>
  <w:p>
    <w:pPr>
      <w:pStyle w:val="a4"/>
    </w:pPr>
  </w:p>
  <w:p>
    <w:pPr>
      <w:pStyle w:val="a4"/>
    </w:pP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B63F6"/>
    <w:multiLevelType w:val="hybridMultilevel"/>
    <w:tmpl w:val="2CA29FA0"/>
    <w:lvl w:ilvl="0" w:tplc="22D49D6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154B7FBB"/>
    <w:multiLevelType w:val="hybridMultilevel"/>
    <w:tmpl w:val="6D5A767A"/>
    <w:lvl w:ilvl="0" w:tplc="D7EE4DC2">
      <w:start w:val="3"/>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23105083"/>
    <w:multiLevelType w:val="hybridMultilevel"/>
    <w:tmpl w:val="3618988E"/>
    <w:lvl w:ilvl="0" w:tplc="0F9C24F6">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23AF2445"/>
    <w:multiLevelType w:val="hybridMultilevel"/>
    <w:tmpl w:val="03869C20"/>
    <w:lvl w:ilvl="0" w:tplc="D57A282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FF45409"/>
    <w:multiLevelType w:val="hybridMultilevel"/>
    <w:tmpl w:val="9766BAF0"/>
    <w:lvl w:ilvl="0" w:tplc="40B4BB1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82C3657"/>
    <w:multiLevelType w:val="hybridMultilevel"/>
    <w:tmpl w:val="132601BE"/>
    <w:lvl w:ilvl="0" w:tplc="BCD24E8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0436FD9"/>
    <w:multiLevelType w:val="hybridMultilevel"/>
    <w:tmpl w:val="82EAAA2E"/>
    <w:lvl w:ilvl="0" w:tplc="0CCC4A1C">
      <w:start w:val="1"/>
      <w:numFmt w:val="decimalFullWidth"/>
      <w:lvlText w:val="（%1）"/>
      <w:lvlJc w:val="left"/>
      <w:pPr>
        <w:ind w:left="720" w:hanging="720"/>
      </w:pPr>
      <w:rPr>
        <w:rFonts w:asciiTheme="minorHAnsi"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EF056AF"/>
    <w:multiLevelType w:val="hybridMultilevel"/>
    <w:tmpl w:val="0CDC9774"/>
    <w:lvl w:ilvl="0" w:tplc="0592EC90">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7"/>
  </w:num>
  <w:num w:numId="3">
    <w:abstractNumId w:val="3"/>
  </w:num>
  <w:num w:numId="4">
    <w:abstractNumId w:val="2"/>
  </w:num>
  <w:num w:numId="5">
    <w:abstractNumId w:val="0"/>
  </w:num>
  <w:num w:numId="6">
    <w:abstractNumId w:val="4"/>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7451586F-52D9-405A-8ADD-8E391120A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Chars="400" w:left="840"/>
    </w:pPr>
  </w:style>
  <w:style w:type="paragraph" w:styleId="a4">
    <w:name w:val="header"/>
    <w:basedOn w:val="a"/>
    <w:link w:val="a5"/>
    <w:uiPriority w:val="99"/>
    <w:unhideWhenUsed/>
    <w:pPr>
      <w:tabs>
        <w:tab w:val="center" w:pos="4252"/>
        <w:tab w:val="right" w:pos="8504"/>
      </w:tabs>
      <w:snapToGrid w:val="0"/>
    </w:pPr>
  </w:style>
  <w:style w:type="character" w:customStyle="1" w:styleId="a5">
    <w:name w:val="ヘッダー (文字)"/>
    <w:basedOn w:val="a0"/>
    <w:link w:val="a4"/>
    <w:uiPriority w:val="99"/>
  </w:style>
  <w:style w:type="paragraph" w:styleId="a6">
    <w:name w:val="footer"/>
    <w:basedOn w:val="a"/>
    <w:link w:val="a7"/>
    <w:uiPriority w:val="99"/>
    <w:unhideWhenUsed/>
    <w:pPr>
      <w:tabs>
        <w:tab w:val="center" w:pos="4252"/>
        <w:tab w:val="right" w:pos="8504"/>
      </w:tabs>
      <w:snapToGrid w:val="0"/>
    </w:pPr>
  </w:style>
  <w:style w:type="character" w:customStyle="1" w:styleId="a7">
    <w:name w:val="フッター (文字)"/>
    <w:basedOn w:val="a0"/>
    <w:link w:val="a6"/>
    <w:uiPriority w:val="99"/>
  </w:style>
  <w:style w:type="paragraph" w:styleId="a8">
    <w:name w:val="Balloon Text"/>
    <w:basedOn w:val="a"/>
    <w:link w:val="a9"/>
    <w:uiPriority w:val="99"/>
    <w:semiHidden/>
    <w:unhideWhenUse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45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1E15C-FB0E-4072-994F-EBEA5B1A3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197</Words>
  <Characters>1128</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ユーザー</dc:creator>
  <cp:lastModifiedBy>Windows ユーザー</cp:lastModifiedBy>
  <cp:revision>10</cp:revision>
  <cp:lastPrinted>2021-02-23T06:21:00Z</cp:lastPrinted>
  <dcterms:created xsi:type="dcterms:W3CDTF">2022-03-30T02:43:00Z</dcterms:created>
  <dcterms:modified xsi:type="dcterms:W3CDTF">2022-03-31T04:47:00Z</dcterms:modified>
</cp:coreProperties>
</file>